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36EFC" w14:textId="32CF5EEB" w:rsidR="00A652FC" w:rsidRDefault="00A652FC" w:rsidP="002A0A90">
      <w:pPr>
        <w:jc w:val="center"/>
        <w:rPr>
          <w:b/>
          <w:bCs/>
        </w:rPr>
      </w:pPr>
      <w:r w:rsidRPr="002A0A90">
        <w:rPr>
          <w:b/>
          <w:bCs/>
        </w:rPr>
        <w:t>A</w:t>
      </w:r>
      <w:r w:rsidR="002A0A90" w:rsidRPr="002A0A90">
        <w:rPr>
          <w:b/>
          <w:bCs/>
        </w:rPr>
        <w:t>NEXO</w:t>
      </w:r>
      <w:r w:rsidRPr="002A0A90">
        <w:rPr>
          <w:b/>
          <w:bCs/>
        </w:rPr>
        <w:t xml:space="preserve"> III </w:t>
      </w:r>
      <w:r w:rsidR="002A0A90" w:rsidRPr="002A0A90">
        <w:rPr>
          <w:b/>
          <w:bCs/>
        </w:rPr>
        <w:t>–</w:t>
      </w:r>
      <w:r w:rsidRPr="002A0A90">
        <w:rPr>
          <w:b/>
          <w:bCs/>
        </w:rPr>
        <w:t xml:space="preserve"> </w:t>
      </w:r>
      <w:r w:rsidR="002A0A90" w:rsidRPr="002A0A90">
        <w:rPr>
          <w:b/>
          <w:bCs/>
        </w:rPr>
        <w:t>ANÁLISE TÉCNICA DAS PROPOSTA</w:t>
      </w:r>
      <w:r w:rsidR="00DB4963">
        <w:rPr>
          <w:b/>
          <w:bCs/>
        </w:rPr>
        <w:t>S</w:t>
      </w:r>
    </w:p>
    <w:p w14:paraId="6E33B9BD" w14:textId="77777777" w:rsidR="002A0A90" w:rsidRPr="002A0A90" w:rsidRDefault="002A0A90" w:rsidP="002A0A90">
      <w:pPr>
        <w:jc w:val="center"/>
        <w:rPr>
          <w:b/>
          <w:bCs/>
        </w:rPr>
      </w:pPr>
    </w:p>
    <w:p w14:paraId="0B912250" w14:textId="3B34DE71" w:rsidR="000D6D88" w:rsidRDefault="002A0A90" w:rsidP="00B54EB0">
      <w:pPr>
        <w:ind w:firstLine="708"/>
        <w:jc w:val="both"/>
      </w:pPr>
      <w:r>
        <w:t>Para efetuarmos tal análise,</w:t>
      </w:r>
      <w:r w:rsidR="0011364A">
        <w:t xml:space="preserve"> confrontaremos os valores propostos por itens (já considerando o desconto ofertado pela licitante) com os valores dos respectivos itens dados pela tabela </w:t>
      </w:r>
      <w:r w:rsidR="0011364A" w:rsidRPr="0011364A">
        <w:t>SINAPI (Sistema Nacional de Pesquisa de Custos e Índices da Construção Civil)</w:t>
      </w:r>
      <w:r w:rsidR="0011364A">
        <w:t>.</w:t>
      </w:r>
    </w:p>
    <w:p w14:paraId="7646667F" w14:textId="629948C4" w:rsidR="0011364A" w:rsidRDefault="0011364A" w:rsidP="00B54EB0">
      <w:pPr>
        <w:ind w:firstLine="708"/>
        <w:jc w:val="both"/>
      </w:pPr>
      <w:r w:rsidRPr="0011364A">
        <w:t>A Tabela SINAPI é considerada uma referência mais completa</w:t>
      </w:r>
      <w:r w:rsidR="00764C22">
        <w:t xml:space="preserve">, </w:t>
      </w:r>
      <w:r w:rsidRPr="0011364A">
        <w:t xml:space="preserve">devido à sua metodologia robusta, </w:t>
      </w:r>
      <w:r w:rsidR="00764C22" w:rsidRPr="00764C22">
        <w:t>sistemática de coleta e apuração de dados</w:t>
      </w:r>
      <w:r w:rsidR="00764C22">
        <w:t xml:space="preserve">, </w:t>
      </w:r>
      <w:r w:rsidRPr="0011364A">
        <w:t>que envolve coleta mensal de dados em canteiros de obras de todo o país, abrangendo insumos, mão de obra e equipamentos, com atualizações constantes para refletir as variações de mercado. Desenvolvida em parceria entre a Caixa Econômica Federal e o IBGE, ela utiliza critérios técnicos padronizados e transparentes, incluindo ponderações regionais e setoriais, o que garante maior precisão e representatividade nacional, sendo amplamente adotada em licitações, orçamentos e planejamento de obras públicas e privadas.</w:t>
      </w:r>
    </w:p>
    <w:p w14:paraId="63C5BCA8" w14:textId="0121C876" w:rsidR="00764C22" w:rsidRDefault="00764C22" w:rsidP="00B54EB0">
      <w:pPr>
        <w:ind w:firstLine="708"/>
        <w:jc w:val="both"/>
      </w:pPr>
      <w:r>
        <w:t>Assim, definiremos os seguintes parâmetros:</w:t>
      </w:r>
    </w:p>
    <w:p w14:paraId="08140ADF" w14:textId="6193C197" w:rsidR="00764C22" w:rsidRPr="00AA4F21" w:rsidRDefault="00764C22" w:rsidP="0011364A">
      <w:pPr>
        <w:jc w:val="both"/>
        <w:rPr>
          <w:i/>
          <w:iCs/>
        </w:rPr>
      </w:pPr>
      <w:r w:rsidRPr="00AA4F21">
        <w:rPr>
          <w:i/>
          <w:iCs/>
        </w:rPr>
        <w:t xml:space="preserve">- </w:t>
      </w:r>
      <w:r w:rsidRPr="00AA4F21">
        <w:rPr>
          <w:b/>
          <w:bCs/>
          <w:i/>
          <w:iCs/>
          <w:sz w:val="24"/>
          <w:szCs w:val="24"/>
        </w:rPr>
        <w:t>P</w:t>
      </w:r>
      <w:r w:rsidRPr="00AA4F21">
        <w:rPr>
          <w:i/>
          <w:iCs/>
        </w:rPr>
        <w:t>: Preço proposto por item; e</w:t>
      </w:r>
    </w:p>
    <w:p w14:paraId="70B6363F" w14:textId="6BA30A77" w:rsidR="00764C22" w:rsidRPr="00AA4F21" w:rsidRDefault="00764C22" w:rsidP="0011364A">
      <w:pPr>
        <w:jc w:val="both"/>
        <w:rPr>
          <w:i/>
          <w:iCs/>
        </w:rPr>
      </w:pPr>
      <w:r w:rsidRPr="00AA4F21">
        <w:rPr>
          <w:i/>
          <w:iCs/>
        </w:rPr>
        <w:t xml:space="preserve">- </w:t>
      </w:r>
      <w:r w:rsidR="00A33021">
        <w:rPr>
          <w:b/>
          <w:bCs/>
          <w:i/>
          <w:iCs/>
          <w:sz w:val="24"/>
          <w:szCs w:val="24"/>
        </w:rPr>
        <w:t>R</w:t>
      </w:r>
      <w:r w:rsidRPr="00AA4F21">
        <w:rPr>
          <w:i/>
          <w:iCs/>
        </w:rPr>
        <w:t xml:space="preserve">: </w:t>
      </w:r>
      <w:r w:rsidR="00A33021">
        <w:rPr>
          <w:i/>
          <w:iCs/>
        </w:rPr>
        <w:t xml:space="preserve">Valor de Referência, </w:t>
      </w:r>
      <w:r w:rsidRPr="00AA4F21">
        <w:rPr>
          <w:i/>
          <w:iCs/>
        </w:rPr>
        <w:t>Preço do SINAPI por item (da tabela vigente no mês da proposta).</w:t>
      </w:r>
    </w:p>
    <w:p w14:paraId="44D5A6E2" w14:textId="77777777" w:rsidR="000D6D88" w:rsidRDefault="000D6D88" w:rsidP="002A0A90">
      <w:pPr>
        <w:jc w:val="both"/>
      </w:pPr>
    </w:p>
    <w:p w14:paraId="5065A0A1" w14:textId="52A3C754" w:rsidR="00A652FC" w:rsidRDefault="002A0A90" w:rsidP="002A0A90">
      <w:pPr>
        <w:jc w:val="both"/>
      </w:pPr>
      <w:r>
        <w:t xml:space="preserve"> </w:t>
      </w:r>
      <w:r w:rsidR="00B54EB0">
        <w:tab/>
      </w:r>
      <w:r w:rsidR="00764C22">
        <w:t>Além disso, a</w:t>
      </w:r>
      <w:r w:rsidR="000D6D88" w:rsidRPr="000D6D88">
        <w:t>dotaremos como referência a distribuição normal (Gaussiana), uma função de probabilidade simétrica co</w:t>
      </w:r>
      <w:r w:rsidR="0011364A">
        <w:t xml:space="preserve">m </w:t>
      </w:r>
      <w:r w:rsidR="000D6D88" w:rsidRPr="000D6D88">
        <w:t>característico formato de sino, completamente definida por seus parâmetros de média (μ) e desvio padrão (σ)</w:t>
      </w:r>
      <w:r w:rsidR="00A472B2">
        <w:t xml:space="preserve"> (</w:t>
      </w:r>
      <w:r w:rsidR="00A472B2" w:rsidRPr="00A472B2">
        <w:rPr>
          <w:i/>
          <w:iCs/>
        </w:rPr>
        <w:t>Figura 1</w:t>
      </w:r>
      <w:r w:rsidR="00A472B2">
        <w:t>)</w:t>
      </w:r>
      <w:r w:rsidR="000D6D88" w:rsidRPr="000D6D88">
        <w:t>. Essa distribuição, amplamente validada tanto teoricamente quanto através de observações empíricas em diversos fenômenos naturais e sociais, obedece</w:t>
      </w:r>
      <w:r w:rsidR="00A472B2">
        <w:t>, por exemplo,</w:t>
      </w:r>
      <w:r w:rsidR="000D6D88" w:rsidRPr="000D6D88">
        <w:t xml:space="preserve"> à</w:t>
      </w:r>
      <w:r w:rsidR="000A3128">
        <w:t>s</w:t>
      </w:r>
      <w:r w:rsidR="000D6D88" w:rsidRPr="000D6D88">
        <w:t xml:space="preserve"> seguinte</w:t>
      </w:r>
      <w:r w:rsidR="000A3128">
        <w:t>s</w:t>
      </w:r>
      <w:r w:rsidR="000D6D88" w:rsidRPr="000D6D88">
        <w:t xml:space="preserve"> propriedade</w:t>
      </w:r>
      <w:r w:rsidR="000A3128">
        <w:t>s</w:t>
      </w:r>
      <w:r w:rsidR="000D6D88" w:rsidRPr="000D6D88">
        <w:t xml:space="preserve"> fundamenta</w:t>
      </w:r>
      <w:r w:rsidR="000A3128">
        <w:t>is</w:t>
      </w:r>
      <w:r w:rsidR="000D6D88" w:rsidRPr="000D6D88">
        <w:t>:</w:t>
      </w:r>
    </w:p>
    <w:p w14:paraId="7552B4FF" w14:textId="4398BB9F" w:rsidR="002A0A90" w:rsidRDefault="002A0A90" w:rsidP="002A0A90">
      <w:pPr>
        <w:jc w:val="both"/>
      </w:pPr>
      <w:r>
        <w:t>- 68,27% das observações de um rol de valores encontra</w:t>
      </w:r>
      <w:r w:rsidR="000D6D88">
        <w:t>m</w:t>
      </w:r>
      <w:r>
        <w:t>-se dispersas entre -1</w:t>
      </w:r>
      <w:r w:rsidR="000D6D88" w:rsidRPr="000D6D88">
        <w:t>σ</w:t>
      </w:r>
      <w:r>
        <w:t xml:space="preserve"> e </w:t>
      </w:r>
      <w:r w:rsidR="000D6D88">
        <w:t>1</w:t>
      </w:r>
      <w:r w:rsidR="000D6D88" w:rsidRPr="000D6D88">
        <w:t>σ</w:t>
      </w:r>
      <w:r w:rsidR="000A3128">
        <w:t xml:space="preserve"> (</w:t>
      </w:r>
      <w:r w:rsidR="000A3128" w:rsidRPr="000A3128">
        <w:t xml:space="preserve">±1 </w:t>
      </w:r>
      <w:r w:rsidR="000A3128" w:rsidRPr="000D6D88">
        <w:t>σ</w:t>
      </w:r>
      <w:r w:rsidR="000A3128">
        <w:t>)</w:t>
      </w:r>
      <w:r w:rsidR="000D6D88">
        <w:t xml:space="preserve">, ou seja, </w:t>
      </w:r>
      <w:r w:rsidR="000D6D88" w:rsidRPr="000D6D88">
        <w:t xml:space="preserve">entre </w:t>
      </w:r>
      <w:r w:rsidR="000A3128">
        <w:t>um desvio padrão abaixo da média e um desvio padrão acima da média</w:t>
      </w:r>
      <w:r w:rsidR="000A3128">
        <w:rPr>
          <w:rFonts w:ascii="Segoe UI" w:hAnsi="Segoe UI" w:cs="Segoe UI"/>
          <w:color w:val="404040"/>
          <w:shd w:val="clear" w:color="auto" w:fill="FFFFFF"/>
        </w:rPr>
        <w:t> </w:t>
      </w:r>
      <w:r w:rsidR="000A3128" w:rsidRPr="000A3128">
        <w:t>([μ − σ, μ + σ])</w:t>
      </w:r>
      <w:r w:rsidR="000A3128">
        <w:t>;</w:t>
      </w:r>
    </w:p>
    <w:p w14:paraId="603C4819" w14:textId="56DDE873" w:rsidR="000A3128" w:rsidRPr="000A3128" w:rsidRDefault="000A3128" w:rsidP="000A3128">
      <w:pPr>
        <w:jc w:val="both"/>
        <w:rPr>
          <w:b/>
          <w:bCs/>
        </w:rPr>
      </w:pPr>
      <w:r w:rsidRPr="000A3128">
        <w:rPr>
          <w:b/>
          <w:bCs/>
        </w:rPr>
        <w:t>- 86,64% das observações de um rol de valores encontram-se dispersas entre -1,5σ e 1,5σ (±1,5 σ), ou seja, entre um desvio padrão e meio abaixo da média e um desvio padrão e meio acima da média</w:t>
      </w:r>
      <w:r w:rsidRPr="000A3128">
        <w:rPr>
          <w:rFonts w:ascii="Segoe UI" w:hAnsi="Segoe UI" w:cs="Segoe UI"/>
          <w:b/>
          <w:bCs/>
          <w:color w:val="404040"/>
          <w:shd w:val="clear" w:color="auto" w:fill="FFFFFF"/>
        </w:rPr>
        <w:t> </w:t>
      </w:r>
      <w:r w:rsidRPr="000A3128">
        <w:rPr>
          <w:b/>
          <w:bCs/>
        </w:rPr>
        <w:t>([μ − σ, μ + σ]);</w:t>
      </w:r>
    </w:p>
    <w:p w14:paraId="194C8AF8" w14:textId="67DAA5BA" w:rsidR="00A472B2" w:rsidRDefault="00A472B2" w:rsidP="00A472B2">
      <w:pPr>
        <w:jc w:val="both"/>
      </w:pPr>
      <w:r w:rsidRPr="00A472B2">
        <w:t>- 95,45% das observações de um rol de valores encontram-se dispersas entre -2σ e 2σ (±2,5 σ), ou seja, entre dois desvios padrões da média e dois desvios padrões acima da média</w:t>
      </w:r>
      <w:r w:rsidRPr="00A472B2">
        <w:rPr>
          <w:rFonts w:ascii="Segoe UI" w:hAnsi="Segoe UI" w:cs="Segoe UI"/>
          <w:color w:val="404040"/>
          <w:shd w:val="clear" w:color="auto" w:fill="FFFFFF"/>
        </w:rPr>
        <w:t> </w:t>
      </w:r>
      <w:r w:rsidRPr="00A472B2">
        <w:t>([μ − σ, μ + σ])</w:t>
      </w:r>
      <w:r>
        <w:t>.</w:t>
      </w:r>
    </w:p>
    <w:p w14:paraId="4A14B606" w14:textId="0E6BF71C" w:rsidR="00A472B2" w:rsidRPr="002239D3" w:rsidRDefault="00FF036A" w:rsidP="00B54EB0">
      <w:pPr>
        <w:ind w:firstLine="708"/>
        <w:jc w:val="both"/>
      </w:pPr>
      <w:r>
        <w:t xml:space="preserve">Abaixo apresento </w:t>
      </w:r>
      <w:r w:rsidR="002239D3">
        <w:t xml:space="preserve">o comportamento típico da distribuição normal pode ser representado por meio do gráfico da </w:t>
      </w:r>
      <w:r w:rsidR="002239D3" w:rsidRPr="002239D3">
        <w:rPr>
          <w:i/>
          <w:iCs/>
        </w:rPr>
        <w:t>Figura 1</w:t>
      </w:r>
      <w:r w:rsidR="002239D3">
        <w:t>:</w:t>
      </w:r>
    </w:p>
    <w:p w14:paraId="720CD659" w14:textId="59011341" w:rsidR="00A472B2" w:rsidRDefault="00DD3A75" w:rsidP="00A472B2">
      <w:pPr>
        <w:jc w:val="both"/>
      </w:pPr>
      <w:r>
        <w:rPr>
          <w:noProof/>
        </w:rPr>
        <w:lastRenderedPageBreak/>
        <w:drawing>
          <wp:inline distT="0" distB="0" distL="0" distR="0" wp14:anchorId="0CEE8F43" wp14:editId="615342F6">
            <wp:extent cx="5372100" cy="3743325"/>
            <wp:effectExtent l="0" t="0" r="0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374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D9E4E7" w14:textId="2AEC0B45" w:rsidR="002B5530" w:rsidRDefault="00A472B2" w:rsidP="00A472B2">
      <w:pPr>
        <w:pStyle w:val="Legenda"/>
      </w:pPr>
      <w:r>
        <w:t xml:space="preserve">Figura </w:t>
      </w:r>
      <w:r w:rsidR="00C669E9">
        <w:fldChar w:fldCharType="begin"/>
      </w:r>
      <w:r w:rsidR="00C669E9">
        <w:instrText xml:space="preserve"> SEQ Figura \* ARABIC </w:instrText>
      </w:r>
      <w:r w:rsidR="00C669E9">
        <w:fldChar w:fldCharType="separate"/>
      </w:r>
      <w:r>
        <w:rPr>
          <w:noProof/>
        </w:rPr>
        <w:t>1</w:t>
      </w:r>
      <w:r w:rsidR="00C669E9">
        <w:rPr>
          <w:noProof/>
        </w:rPr>
        <w:fldChar w:fldCharType="end"/>
      </w:r>
      <w:r>
        <w:t xml:space="preserve"> Gráfico da Distribuição Normal</w:t>
      </w:r>
    </w:p>
    <w:p w14:paraId="5CA22F80" w14:textId="77777777" w:rsidR="00FF036A" w:rsidRDefault="00FF036A" w:rsidP="002239D3"/>
    <w:p w14:paraId="1899F21A" w14:textId="6A248F86" w:rsidR="00FF036A" w:rsidRDefault="002E1F48" w:rsidP="002E1F48">
      <w:pPr>
        <w:ind w:firstLine="708"/>
        <w:jc w:val="both"/>
      </w:pPr>
      <w:r>
        <w:t>Dentr</w:t>
      </w:r>
      <w:r w:rsidR="00326F07">
        <w:t>e</w:t>
      </w:r>
      <w:r>
        <w:t xml:space="preserve"> dos especificados acima</w:t>
      </w:r>
      <w:r w:rsidR="00FF036A">
        <w:t xml:space="preserve">, o rol que abrange cerca de </w:t>
      </w:r>
      <w:r w:rsidR="00FF036A">
        <w:rPr>
          <w:rStyle w:val="Forte"/>
        </w:rPr>
        <w:t>8</w:t>
      </w:r>
      <w:r>
        <w:rPr>
          <w:rStyle w:val="Forte"/>
        </w:rPr>
        <w:t>6,64</w:t>
      </w:r>
      <w:r w:rsidR="00FF036A">
        <w:rPr>
          <w:rStyle w:val="Forte"/>
        </w:rPr>
        <w:t> % das observações</w:t>
      </w:r>
      <w:r w:rsidR="00FF036A">
        <w:t xml:space="preserve"> </w:t>
      </w:r>
      <w:r>
        <w:t>se apresenta como</w:t>
      </w:r>
      <w:r w:rsidR="00FF036A">
        <w:t xml:space="preserve"> o melhor parâmetro para análises</w:t>
      </w:r>
      <w:r>
        <w:t xml:space="preserve"> uma vez que</w:t>
      </w:r>
      <w:r w:rsidR="00FF036A">
        <w:t>, em muitos conjuntos de dados, essa faixa central concentra os valores mais representativos, deixando de fora os extremos (outliers) que poderiam distorcer medidas como média ou desvio padrão.</w:t>
      </w:r>
      <w:r>
        <w:t xml:space="preserve"> </w:t>
      </w:r>
      <w:r w:rsidR="00FF036A">
        <w:t>Dessa forma, a análise se torna mais robusta e confiável, pois foca no comportamento geral da amostra e reduz o impacto de valores atípicos.</w:t>
      </w:r>
      <w:r>
        <w:t xml:space="preserve"> Sendo assim, será sobre esse rol que aplicaremos o coeficiente de variação (CV) determinado adiante</w:t>
      </w:r>
    </w:p>
    <w:p w14:paraId="58BB6E00" w14:textId="77777777" w:rsidR="002E1F48" w:rsidRDefault="002E1F48" w:rsidP="002E1F48">
      <w:pPr>
        <w:jc w:val="both"/>
      </w:pPr>
    </w:p>
    <w:p w14:paraId="07F4FEE3" w14:textId="10D98B12" w:rsidR="002239D3" w:rsidRDefault="002239D3" w:rsidP="00B54EB0">
      <w:pPr>
        <w:ind w:firstLine="708"/>
        <w:jc w:val="both"/>
      </w:pPr>
      <w:r>
        <w:t xml:space="preserve">Finalmente, </w:t>
      </w:r>
      <w:r w:rsidR="002C023A">
        <w:t>considerando o fato de que em relação a insumos estáveis da construção civil costuma-se observar um desvio padrão entre 10% e 20% da média dos preços</w:t>
      </w:r>
      <w:r w:rsidR="00B54EB0">
        <w:t xml:space="preserve"> (</w:t>
      </w:r>
      <w:r w:rsidR="00B54EB0" w:rsidRPr="00B54EB0">
        <w:t>CHOPRA</w:t>
      </w:r>
      <w:r w:rsidR="00B54EB0">
        <w:t xml:space="preserve"> e </w:t>
      </w:r>
      <w:r w:rsidR="00B54EB0" w:rsidRPr="00B54EB0">
        <w:t>MEINDL</w:t>
      </w:r>
      <w:r w:rsidR="002C023A">
        <w:t xml:space="preserve">, </w:t>
      </w:r>
      <w:r w:rsidR="00B54EB0">
        <w:t xml:space="preserve">2016) e que esses valores podem ser melhorados para algo em </w:t>
      </w:r>
      <w:r w:rsidR="0023649B">
        <w:t xml:space="preserve">torno de </w:t>
      </w:r>
      <w:r w:rsidR="00B54EB0">
        <w:t xml:space="preserve">13% e 18% (OTERO, 2000), </w:t>
      </w:r>
      <w:r w:rsidR="002E1F48">
        <w:t>determinaremos</w:t>
      </w:r>
      <w:r w:rsidR="00B54EB0">
        <w:t xml:space="preserve"> o coeficiente de variação </w:t>
      </w:r>
      <w:r w:rsidR="00FF036A" w:rsidRPr="00FF036A">
        <w:rPr>
          <w:b/>
          <w:bCs/>
        </w:rPr>
        <w:t>de 15%,</w:t>
      </w:r>
      <w:r w:rsidR="00FF036A">
        <w:t xml:space="preserve"> para que possamos julgar de forma segura as propostas apresentadas.</w:t>
      </w:r>
    </w:p>
    <w:p w14:paraId="7167C400" w14:textId="78E4AA24" w:rsidR="009766A1" w:rsidRDefault="009766A1" w:rsidP="002239D3"/>
    <w:p w14:paraId="7760118C" w14:textId="0A2CF269" w:rsidR="002E1F48" w:rsidRDefault="002E1F48" w:rsidP="00D547E7">
      <w:pPr>
        <w:ind w:firstLine="708"/>
      </w:pPr>
      <w:r>
        <w:t>Com base nesses parâmetros, definiremos a relação que estabel</w:t>
      </w:r>
      <w:r w:rsidR="00D547E7">
        <w:t>ecerá os critérios para análise técnica sobre a praticabilidade dos preços propostos para os itens licitados, da seguinte forma:</w:t>
      </w:r>
    </w:p>
    <w:p w14:paraId="67AD6EC3" w14:textId="4BEEC975" w:rsidR="00D547E7" w:rsidRPr="00AA4F21" w:rsidRDefault="00D547E7" w:rsidP="00D547E7">
      <w:pPr>
        <w:jc w:val="both"/>
        <w:rPr>
          <w:i/>
          <w:iCs/>
        </w:rPr>
      </w:pPr>
      <w:r w:rsidRPr="00AA4F21">
        <w:rPr>
          <w:i/>
          <w:iCs/>
        </w:rPr>
        <w:t xml:space="preserve">- </w:t>
      </w:r>
      <w:r w:rsidRPr="00AA4F21">
        <w:rPr>
          <w:b/>
          <w:bCs/>
          <w:i/>
          <w:iCs/>
          <w:sz w:val="24"/>
          <w:szCs w:val="24"/>
        </w:rPr>
        <w:t>P</w:t>
      </w:r>
      <w:r w:rsidRPr="00AA4F21">
        <w:rPr>
          <w:i/>
          <w:iCs/>
        </w:rPr>
        <w:t>: Preço proposto por item; e</w:t>
      </w:r>
    </w:p>
    <w:p w14:paraId="037F1F89" w14:textId="5CB8F8A8" w:rsidR="00D547E7" w:rsidRDefault="00D547E7" w:rsidP="00D547E7">
      <w:pPr>
        <w:jc w:val="both"/>
        <w:rPr>
          <w:i/>
          <w:iCs/>
        </w:rPr>
      </w:pPr>
      <w:r w:rsidRPr="00AA4F21">
        <w:rPr>
          <w:i/>
          <w:iCs/>
        </w:rPr>
        <w:t xml:space="preserve">- </w:t>
      </w:r>
      <w:r w:rsidR="00A33021">
        <w:rPr>
          <w:b/>
          <w:bCs/>
          <w:i/>
          <w:iCs/>
          <w:sz w:val="24"/>
          <w:szCs w:val="24"/>
        </w:rPr>
        <w:t>R</w:t>
      </w:r>
      <w:r w:rsidRPr="00AA4F21">
        <w:rPr>
          <w:i/>
          <w:iCs/>
        </w:rPr>
        <w:t xml:space="preserve">: </w:t>
      </w:r>
      <w:r w:rsidR="00A33021">
        <w:rPr>
          <w:i/>
          <w:iCs/>
        </w:rPr>
        <w:t xml:space="preserve">Valor de Referência, </w:t>
      </w:r>
      <w:r w:rsidRPr="00AA4F21">
        <w:rPr>
          <w:i/>
          <w:iCs/>
        </w:rPr>
        <w:t>Preço do SINAPI por item (da tabela vigente no mês da proposta)</w:t>
      </w:r>
      <w:r>
        <w:rPr>
          <w:i/>
          <w:iCs/>
        </w:rPr>
        <w:t>;</w:t>
      </w:r>
    </w:p>
    <w:p w14:paraId="39E8FE4C" w14:textId="3107B845" w:rsidR="00D547E7" w:rsidRDefault="00D547E7" w:rsidP="00D547E7">
      <w:pPr>
        <w:jc w:val="both"/>
      </w:pPr>
      <w:r>
        <w:rPr>
          <w:i/>
          <w:iCs/>
        </w:rPr>
        <w:t xml:space="preserve">- </w:t>
      </w:r>
      <w:r w:rsidRPr="00D547E7">
        <w:rPr>
          <w:b/>
          <w:bCs/>
          <w:i/>
          <w:iCs/>
        </w:rPr>
        <w:t>CV</w:t>
      </w:r>
      <w:r>
        <w:t>: Coeficiente de variação = 15%; e</w:t>
      </w:r>
    </w:p>
    <w:p w14:paraId="5C059093" w14:textId="77777777" w:rsidR="00D547E7" w:rsidRDefault="00D547E7" w:rsidP="00D547E7">
      <w:pPr>
        <w:jc w:val="both"/>
      </w:pPr>
      <w:r>
        <w:lastRenderedPageBreak/>
        <w:t xml:space="preserve">- </w:t>
      </w:r>
      <w:r w:rsidRPr="00D547E7">
        <w:rPr>
          <w:b/>
          <w:bCs/>
          <w:i/>
          <w:iCs/>
        </w:rPr>
        <w:t>±1,5σ</w:t>
      </w:r>
      <w:r>
        <w:t xml:space="preserve">: </w:t>
      </w:r>
      <w:r w:rsidRPr="00D547E7">
        <w:t>um desvio padrão e meio abaixo da média e um desvio padrão e meio acima da média</w:t>
      </w:r>
      <w:r>
        <w:t>. Amplitude de 86,64%.</w:t>
      </w:r>
    </w:p>
    <w:p w14:paraId="72768AEE" w14:textId="77777777" w:rsidR="00D547E7" w:rsidRDefault="00D547E7" w:rsidP="00D547E7">
      <w:pPr>
        <w:jc w:val="both"/>
      </w:pPr>
    </w:p>
    <w:p w14:paraId="088A1E07" w14:textId="2352F2BF" w:rsidR="00326F07" w:rsidRDefault="00A33021" w:rsidP="00AB15B0">
      <w:pPr>
        <w:ind w:firstLine="708"/>
        <w:jc w:val="both"/>
      </w:pPr>
      <w:r>
        <w:t>Considerando o fato de que valores superiores ao valor de referência serão desprezados, para que poss</w:t>
      </w:r>
      <w:r w:rsidR="00AB15B0">
        <w:t>a</w:t>
      </w:r>
      <w:r>
        <w:t xml:space="preserve"> ser aprovada, a proposta deverá atender as seguintes condições:</w:t>
      </w:r>
    </w:p>
    <w:p w14:paraId="641CAEEC" w14:textId="77777777" w:rsidR="00A71AC0" w:rsidRDefault="00A71AC0" w:rsidP="00D547E7">
      <w:pPr>
        <w:jc w:val="both"/>
      </w:pPr>
    </w:p>
    <w:p w14:paraId="190CE308" w14:textId="70FCAC28" w:rsidR="00B54EB0" w:rsidRDefault="00326F07" w:rsidP="00A33021">
      <w:pPr>
        <w:jc w:val="center"/>
      </w:pPr>
      <w:r w:rsidRPr="00A71AC0">
        <w:rPr>
          <w:i/>
          <w:iCs/>
        </w:rPr>
        <w:t>P</w:t>
      </w:r>
      <w:r w:rsidRPr="00A71AC0">
        <w:t xml:space="preserve"> </w:t>
      </w:r>
      <w:r w:rsidR="00A71AC0" w:rsidRPr="00A71AC0">
        <w:t>≥</w:t>
      </w:r>
      <w:r w:rsidRPr="00A71AC0">
        <w:t xml:space="preserve"> </w:t>
      </w:r>
      <w:r w:rsidR="00A33021" w:rsidRPr="00A71AC0">
        <w:rPr>
          <w:i/>
          <w:iCs/>
        </w:rPr>
        <w:t>R</w:t>
      </w:r>
      <w:r w:rsidRPr="00A71AC0">
        <w:t xml:space="preserve"> </w:t>
      </w:r>
      <w:r w:rsidR="00A71AC0" w:rsidRPr="00A71AC0">
        <w:t xml:space="preserve">X [1 </w:t>
      </w:r>
      <w:r w:rsidRPr="00A71AC0">
        <w:t>– (15% X 1,5</w:t>
      </w:r>
      <w:r w:rsidRPr="00A71AC0">
        <w:rPr>
          <w:i/>
          <w:iCs/>
        </w:rPr>
        <w:t>σ</w:t>
      </w:r>
      <w:r w:rsidRPr="00A71AC0">
        <w:t>)</w:t>
      </w:r>
      <w:r w:rsidR="00A71AC0" w:rsidRPr="00A71AC0">
        <w:t>]</w:t>
      </w:r>
    </w:p>
    <w:p w14:paraId="0A87CD5D" w14:textId="5086F748" w:rsidR="00A71AC0" w:rsidRPr="00A71AC0" w:rsidRDefault="00DA4CCC" w:rsidP="00A33021">
      <w:pPr>
        <w:jc w:val="center"/>
      </w:pPr>
      <w:r>
        <w:t>O</w:t>
      </w:r>
      <w:r w:rsidR="00A71AC0">
        <w:t>u</w:t>
      </w:r>
      <w:r>
        <w:t xml:space="preserve"> seja,</w:t>
      </w:r>
    </w:p>
    <w:p w14:paraId="20CBF75C" w14:textId="40B3EB17" w:rsidR="00A71AC0" w:rsidRDefault="00A71AC0" w:rsidP="00A71AC0">
      <w:pPr>
        <w:jc w:val="center"/>
        <w:rPr>
          <w:sz w:val="28"/>
          <w:szCs w:val="28"/>
        </w:rPr>
      </w:pPr>
      <w:r w:rsidRPr="00A33021">
        <w:rPr>
          <w:i/>
          <w:iCs/>
          <w:sz w:val="28"/>
          <w:szCs w:val="28"/>
        </w:rPr>
        <w:t>P</w:t>
      </w:r>
      <w:r w:rsidRPr="00A33021">
        <w:rPr>
          <w:sz w:val="28"/>
          <w:szCs w:val="28"/>
        </w:rPr>
        <w:t xml:space="preserve"> </w:t>
      </w:r>
      <w:r>
        <w:t>≥</w:t>
      </w:r>
      <w:r w:rsidRPr="00A33021">
        <w:rPr>
          <w:sz w:val="28"/>
          <w:szCs w:val="28"/>
        </w:rPr>
        <w:t xml:space="preserve"> </w:t>
      </w:r>
      <w:r w:rsidRPr="00A33021">
        <w:rPr>
          <w:i/>
          <w:iCs/>
          <w:sz w:val="28"/>
          <w:szCs w:val="28"/>
        </w:rPr>
        <w:t>R</w:t>
      </w:r>
      <w:r w:rsidRPr="00A33021">
        <w:rPr>
          <w:sz w:val="28"/>
          <w:szCs w:val="28"/>
        </w:rPr>
        <w:t xml:space="preserve"> </w:t>
      </w:r>
      <w:r>
        <w:rPr>
          <w:sz w:val="28"/>
          <w:szCs w:val="28"/>
        </w:rPr>
        <w:t>X 0,77</w:t>
      </w:r>
    </w:p>
    <w:p w14:paraId="0C0F374C" w14:textId="77777777" w:rsidR="00A71AC0" w:rsidRPr="00A33021" w:rsidRDefault="00A71AC0" w:rsidP="00A33021">
      <w:pPr>
        <w:jc w:val="center"/>
        <w:rPr>
          <w:sz w:val="28"/>
          <w:szCs w:val="28"/>
        </w:rPr>
      </w:pPr>
    </w:p>
    <w:p w14:paraId="6216DCA5" w14:textId="77777777" w:rsidR="009766A1" w:rsidRDefault="009766A1" w:rsidP="002239D3"/>
    <w:p w14:paraId="0BE4304B" w14:textId="54A99C64" w:rsidR="009766A1" w:rsidRDefault="009766A1" w:rsidP="009766A1">
      <w:pPr>
        <w:jc w:val="center"/>
      </w:pPr>
      <w:r>
        <w:t>Referências</w:t>
      </w:r>
    </w:p>
    <w:p w14:paraId="09E19A26" w14:textId="77777777" w:rsidR="00B54EB0" w:rsidRDefault="00B54EB0" w:rsidP="009766A1">
      <w:pPr>
        <w:jc w:val="center"/>
      </w:pPr>
    </w:p>
    <w:p w14:paraId="1F567364" w14:textId="514EB48F" w:rsidR="009766A1" w:rsidRDefault="009766A1" w:rsidP="00B54EB0">
      <w:pPr>
        <w:jc w:val="both"/>
      </w:pPr>
      <w:r w:rsidRPr="00B54EB0">
        <w:t>CHOPRA, S.; MEINDL, P. </w:t>
      </w:r>
      <w:r w:rsidRPr="00B54EB0">
        <w:rPr>
          <w:i/>
          <w:iCs/>
        </w:rPr>
        <w:t>Supply Chain Management: Strategy, Planning, and Operation</w:t>
      </w:r>
      <w:r w:rsidRPr="00B54EB0">
        <w:t>. 6. ed. Pearson, 2</w:t>
      </w:r>
      <w:r w:rsidR="00741793" w:rsidRPr="00B54EB0">
        <w:t>016</w:t>
      </w:r>
      <w:r w:rsidRPr="00B54EB0">
        <w:t>. (Cap. 7: Demand Forecasting in a Supply Chain").</w:t>
      </w:r>
      <w:r w:rsidR="00741793" w:rsidRPr="00B54EB0">
        <w:t xml:space="preserve"> Disponível em </w:t>
      </w:r>
      <w:r w:rsidR="003B1635" w:rsidRPr="00B54EB0">
        <w:t>&lt;</w:t>
      </w:r>
      <w:r w:rsidR="00741793" w:rsidRPr="00B54EB0">
        <w:t>https://www.researchgate.net/profile/Abdelkader</w:t>
      </w:r>
      <w:r w:rsidR="003B1635" w:rsidRPr="00B54EB0">
        <w:t>-</w:t>
      </w:r>
      <w:r w:rsidR="00741793" w:rsidRPr="00B54EB0">
        <w:t>Bouaziz/post/Can_I_request_if_someone</w:t>
      </w:r>
      <w:r w:rsidR="003B1635" w:rsidRPr="00B54EB0">
        <w:br/>
      </w:r>
      <w:r w:rsidR="00741793" w:rsidRPr="00B54EB0">
        <w:t>_can_help_me_with_pearson_instructor_manual_for_Supply_chain_management_strategy_planning_and_operation_2016/attachment/5f09e009ceab7c0001366546/AS%3A912140693143553%401594482696611/download/Supply+Chain+Management+Strategy%2C+Planning%2C+and+Operation.pdf</w:t>
      </w:r>
      <w:r w:rsidR="003B1635" w:rsidRPr="00B54EB0">
        <w:t>&gt;</w:t>
      </w:r>
      <w:r w:rsidR="00741793" w:rsidRPr="00B54EB0">
        <w:t>.</w:t>
      </w:r>
      <w:r w:rsidR="003B1635" w:rsidRPr="00B54EB0">
        <w:t xml:space="preserve"> Acesso em 23/07/2025.</w:t>
      </w:r>
    </w:p>
    <w:p w14:paraId="5371BEAB" w14:textId="77777777" w:rsidR="00A71AC0" w:rsidRPr="00B54EB0" w:rsidRDefault="00A71AC0" w:rsidP="00B54EB0">
      <w:pPr>
        <w:jc w:val="both"/>
      </w:pPr>
    </w:p>
    <w:p w14:paraId="0EFFB4F6" w14:textId="5B1FB9D3" w:rsidR="00B54EB0" w:rsidRPr="00B54EB0" w:rsidRDefault="00B54EB0" w:rsidP="00B54EB0">
      <w:pPr>
        <w:jc w:val="both"/>
      </w:pPr>
      <w:r>
        <w:t xml:space="preserve">OTERO, Juliano Araújo. </w:t>
      </w:r>
      <w:r w:rsidRPr="00B54EB0">
        <w:rPr>
          <w:i/>
          <w:iCs/>
        </w:rPr>
        <w:t>Análise paramétrica de dados orçamentários para estimativa de custos na construção de edifícios: estudo de caso voltado para a questão da variabilidade</w:t>
      </w:r>
      <w:r>
        <w:t>. 2000. 94 f. Dissertação (Mestrado em Engenharia da Produção) – Universidade Federal de Santa Catarina, Florianópolis, 2000.</w:t>
      </w:r>
    </w:p>
    <w:sectPr w:rsidR="00B54EB0" w:rsidRPr="00B54EB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203E0" w14:textId="77777777" w:rsidR="00C669E9" w:rsidRDefault="00C669E9" w:rsidP="00A472B2">
      <w:pPr>
        <w:spacing w:after="0" w:line="240" w:lineRule="auto"/>
      </w:pPr>
      <w:r>
        <w:separator/>
      </w:r>
    </w:p>
  </w:endnote>
  <w:endnote w:type="continuationSeparator" w:id="0">
    <w:p w14:paraId="2E59E0EF" w14:textId="77777777" w:rsidR="00C669E9" w:rsidRDefault="00C669E9" w:rsidP="00A47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BF13F" w14:textId="77777777" w:rsidR="00C669E9" w:rsidRDefault="00C669E9" w:rsidP="00A472B2">
      <w:pPr>
        <w:spacing w:after="0" w:line="240" w:lineRule="auto"/>
      </w:pPr>
      <w:r>
        <w:separator/>
      </w:r>
    </w:p>
  </w:footnote>
  <w:footnote w:type="continuationSeparator" w:id="0">
    <w:p w14:paraId="0FD4E0FE" w14:textId="77777777" w:rsidR="00C669E9" w:rsidRDefault="00C669E9" w:rsidP="00A472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14CE6"/>
    <w:multiLevelType w:val="multilevel"/>
    <w:tmpl w:val="C4B00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A75"/>
    <w:rsid w:val="000A3128"/>
    <w:rsid w:val="000D6D88"/>
    <w:rsid w:val="0011364A"/>
    <w:rsid w:val="002239D3"/>
    <w:rsid w:val="0023649B"/>
    <w:rsid w:val="002A0A90"/>
    <w:rsid w:val="002B5530"/>
    <w:rsid w:val="002C023A"/>
    <w:rsid w:val="002E1F48"/>
    <w:rsid w:val="00326F07"/>
    <w:rsid w:val="003B1635"/>
    <w:rsid w:val="00741793"/>
    <w:rsid w:val="00764C22"/>
    <w:rsid w:val="009766A1"/>
    <w:rsid w:val="00A33021"/>
    <w:rsid w:val="00A472B2"/>
    <w:rsid w:val="00A652FC"/>
    <w:rsid w:val="00A71AC0"/>
    <w:rsid w:val="00AA4F21"/>
    <w:rsid w:val="00AB15B0"/>
    <w:rsid w:val="00B54EB0"/>
    <w:rsid w:val="00B96EB8"/>
    <w:rsid w:val="00BE29BE"/>
    <w:rsid w:val="00C669E9"/>
    <w:rsid w:val="00D547E7"/>
    <w:rsid w:val="00DA4CCC"/>
    <w:rsid w:val="00DB4963"/>
    <w:rsid w:val="00DD3A75"/>
    <w:rsid w:val="00E460FA"/>
    <w:rsid w:val="00E57DF7"/>
    <w:rsid w:val="00FF0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35624"/>
  <w15:chartTrackingRefBased/>
  <w15:docId w15:val="{73911D9B-1C13-4E03-8F5B-608BEA70A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2A0A90"/>
    <w:rPr>
      <w:b/>
      <w:bCs/>
    </w:rPr>
  </w:style>
  <w:style w:type="character" w:styleId="nfase">
    <w:name w:val="Emphasis"/>
    <w:basedOn w:val="Fontepargpadro"/>
    <w:uiPriority w:val="20"/>
    <w:qFormat/>
    <w:rsid w:val="000A3128"/>
    <w:rPr>
      <w:i/>
      <w:iCs/>
    </w:rPr>
  </w:style>
  <w:style w:type="paragraph" w:styleId="Cabealho">
    <w:name w:val="header"/>
    <w:basedOn w:val="Normal"/>
    <w:link w:val="CabealhoChar"/>
    <w:uiPriority w:val="99"/>
    <w:unhideWhenUsed/>
    <w:rsid w:val="00A472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472B2"/>
  </w:style>
  <w:style w:type="paragraph" w:styleId="Rodap">
    <w:name w:val="footer"/>
    <w:basedOn w:val="Normal"/>
    <w:link w:val="RodapChar"/>
    <w:uiPriority w:val="99"/>
    <w:unhideWhenUsed/>
    <w:rsid w:val="00A472B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472B2"/>
  </w:style>
  <w:style w:type="paragraph" w:styleId="Legenda">
    <w:name w:val="caption"/>
    <w:basedOn w:val="Normal"/>
    <w:next w:val="Normal"/>
    <w:uiPriority w:val="35"/>
    <w:unhideWhenUsed/>
    <w:qFormat/>
    <w:rsid w:val="00A472B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ds-markdown-paragraph">
    <w:name w:val="ds-markdown-paragraph"/>
    <w:basedOn w:val="Normal"/>
    <w:rsid w:val="00976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9766A1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17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16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13493</TotalTime>
  <Pages>3</Pages>
  <Words>759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Julio Cesar Soares</dc:creator>
  <cp:keywords/>
  <dc:description/>
  <cp:lastModifiedBy>Julio Cesar Soares</cp:lastModifiedBy>
  <cp:revision>13</cp:revision>
  <dcterms:created xsi:type="dcterms:W3CDTF">2025-07-18T08:32:00Z</dcterms:created>
  <dcterms:modified xsi:type="dcterms:W3CDTF">2025-07-28T05:18:00Z</dcterms:modified>
</cp:coreProperties>
</file>